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81C3F">
      <w:pPr>
        <w:pStyle w:val="2"/>
        <w:adjustRightInd w:val="0"/>
        <w:snapToGrid w:val="0"/>
        <w:spacing w:before="0" w:after="0" w:line="360" w:lineRule="auto"/>
        <w:jc w:val="center"/>
        <w:rPr>
          <w:rStyle w:val="5"/>
          <w:rFonts w:ascii="仿宋" w:hAnsi="仿宋" w:eastAsia="仿宋"/>
          <w:b/>
          <w:bCs w:val="0"/>
          <w:sz w:val="36"/>
          <w:szCs w:val="36"/>
        </w:rPr>
      </w:pPr>
      <w:bookmarkStart w:id="2" w:name="_GoBack"/>
      <w:bookmarkEnd w:id="2"/>
      <w:r>
        <w:rPr>
          <w:rStyle w:val="5"/>
          <w:rFonts w:hint="eastAsia" w:ascii="仿宋" w:hAnsi="仿宋" w:eastAsia="仿宋"/>
          <w:b/>
          <w:bCs w:val="0"/>
          <w:sz w:val="36"/>
          <w:szCs w:val="36"/>
          <w:lang w:eastAsia="zh-CN"/>
        </w:rPr>
        <w:t>中国图像图形学会博士/硕士</w:t>
      </w:r>
      <w:r>
        <w:rPr>
          <w:rStyle w:val="5"/>
          <w:rFonts w:hint="eastAsia" w:ascii="仿宋" w:hAnsi="仿宋" w:eastAsia="仿宋"/>
          <w:b/>
          <w:bCs w:val="0"/>
          <w:sz w:val="36"/>
          <w:szCs w:val="36"/>
        </w:rPr>
        <w:t>学位论文激励计划</w:t>
      </w:r>
    </w:p>
    <w:p w14:paraId="28429877">
      <w:pPr>
        <w:pStyle w:val="2"/>
        <w:adjustRightInd w:val="0"/>
        <w:snapToGrid w:val="0"/>
        <w:spacing w:before="0" w:after="0" w:line="360" w:lineRule="auto"/>
        <w:jc w:val="center"/>
        <w:rPr>
          <w:rFonts w:eastAsia="仿宋"/>
          <w:b w:val="0"/>
        </w:rPr>
      </w:pPr>
      <w:r>
        <w:rPr>
          <w:rStyle w:val="5"/>
          <w:rFonts w:hint="eastAsia" w:ascii="仿宋" w:hAnsi="仿宋" w:eastAsia="仿宋"/>
          <w:b/>
          <w:bCs w:val="0"/>
          <w:sz w:val="36"/>
          <w:szCs w:val="36"/>
        </w:rPr>
        <w:t>遴选办法</w:t>
      </w:r>
    </w:p>
    <w:p w14:paraId="1131BD91">
      <w:pPr>
        <w:rPr>
          <w:rFonts w:ascii="仿宋" w:hAnsi="仿宋" w:eastAsia="仿宋"/>
        </w:rPr>
      </w:pPr>
    </w:p>
    <w:p w14:paraId="71EBA526">
      <w:pPr>
        <w:jc w:val="center"/>
        <w:rPr>
          <w:rFonts w:ascii="仿宋" w:hAnsi="仿宋" w:eastAsia="仿宋"/>
          <w:b/>
          <w:sz w:val="32"/>
        </w:rPr>
      </w:pPr>
      <w:r>
        <w:rPr>
          <w:rFonts w:hint="eastAsia" w:ascii="仿宋" w:hAnsi="仿宋" w:eastAsia="仿宋"/>
          <w:b/>
          <w:sz w:val="32"/>
        </w:rPr>
        <w:t>第一章　总则</w:t>
      </w:r>
    </w:p>
    <w:p w14:paraId="3E647223">
      <w:pPr>
        <w:rPr>
          <w:rFonts w:ascii="仿宋" w:hAnsi="仿宋" w:eastAsia="仿宋"/>
        </w:rPr>
      </w:pPr>
    </w:p>
    <w:p w14:paraId="4AC2B8AF">
      <w:pPr>
        <w:numPr>
          <w:ilvl w:val="0"/>
          <w:numId w:val="1"/>
        </w:numPr>
        <w:spacing w:line="360" w:lineRule="exact"/>
        <w:ind w:left="851"/>
        <w:rPr>
          <w:rFonts w:ascii="仿宋" w:hAnsi="仿宋" w:eastAsia="仿宋"/>
          <w:sz w:val="24"/>
          <w:szCs w:val="24"/>
        </w:rPr>
      </w:pPr>
      <w:r>
        <w:rPr>
          <w:rFonts w:hint="eastAsia" w:ascii="仿宋" w:hAnsi="仿宋" w:eastAsia="仿宋"/>
          <w:sz w:val="24"/>
          <w:szCs w:val="24"/>
        </w:rPr>
        <w:t>“</w:t>
      </w:r>
      <w:r>
        <w:rPr>
          <w:rFonts w:hint="eastAsia" w:ascii="仿宋" w:hAnsi="仿宋" w:eastAsia="仿宋"/>
          <w:sz w:val="24"/>
          <w:szCs w:val="24"/>
          <w:lang w:eastAsia="zh-CN"/>
        </w:rPr>
        <w:t>中国图像图形学会博士/硕士</w:t>
      </w:r>
      <w:r>
        <w:rPr>
          <w:rFonts w:hint="eastAsia" w:ascii="仿宋" w:hAnsi="仿宋" w:eastAsia="仿宋"/>
          <w:sz w:val="24"/>
          <w:szCs w:val="24"/>
        </w:rPr>
        <w:t>学位论文激励计划”（以下简称“CSIG</w:t>
      </w:r>
      <w:r>
        <w:rPr>
          <w:rFonts w:hint="eastAsia" w:ascii="仿宋" w:hAnsi="仿宋" w:eastAsia="仿宋"/>
          <w:sz w:val="24"/>
          <w:szCs w:val="24"/>
          <w:lang w:eastAsia="zh-CN"/>
        </w:rPr>
        <w:t>博士/硕士</w:t>
      </w:r>
      <w:r>
        <w:rPr>
          <w:rFonts w:hint="eastAsia" w:ascii="仿宋" w:hAnsi="仿宋" w:eastAsia="仿宋"/>
          <w:sz w:val="24"/>
          <w:szCs w:val="24"/>
        </w:rPr>
        <w:t>学位论文激励计划”）为推动中国图像图形学领域的科技进步，鼓励创新性研究，促进青年人才成长而设立。</w:t>
      </w:r>
    </w:p>
    <w:p w14:paraId="26EBBB76">
      <w:pPr>
        <w:numPr>
          <w:ilvl w:val="0"/>
          <w:numId w:val="1"/>
        </w:numPr>
        <w:spacing w:line="360" w:lineRule="exact"/>
        <w:ind w:left="850" w:hanging="849" w:hangingChars="354"/>
        <w:rPr>
          <w:rFonts w:ascii="仿宋" w:hAnsi="仿宋" w:eastAsia="仿宋"/>
          <w:sz w:val="24"/>
          <w:szCs w:val="24"/>
        </w:rPr>
      </w:pPr>
      <w:r>
        <w:rPr>
          <w:rFonts w:hint="eastAsia" w:ascii="仿宋" w:hAnsi="仿宋" w:eastAsia="仿宋"/>
          <w:sz w:val="24"/>
          <w:szCs w:val="24"/>
        </w:rPr>
        <w:t>本办法适用于CSIG</w:t>
      </w:r>
      <w:r>
        <w:rPr>
          <w:rFonts w:hint="eastAsia" w:ascii="仿宋" w:hAnsi="仿宋" w:eastAsia="仿宋"/>
          <w:sz w:val="24"/>
          <w:szCs w:val="24"/>
          <w:lang w:eastAsia="zh-CN"/>
        </w:rPr>
        <w:t>博士/硕士</w:t>
      </w:r>
      <w:r>
        <w:rPr>
          <w:rFonts w:hint="eastAsia" w:ascii="仿宋" w:hAnsi="仿宋" w:eastAsia="仿宋"/>
          <w:sz w:val="24"/>
          <w:szCs w:val="24"/>
        </w:rPr>
        <w:t>学位论文激励计划的推荐和遴选等各项工作。</w:t>
      </w:r>
    </w:p>
    <w:p w14:paraId="09C03DA9">
      <w:pPr>
        <w:numPr>
          <w:ilvl w:val="0"/>
          <w:numId w:val="1"/>
        </w:numPr>
        <w:spacing w:line="360" w:lineRule="exact"/>
        <w:ind w:left="851"/>
        <w:rPr>
          <w:rFonts w:ascii="仿宋" w:hAnsi="仿宋" w:eastAsia="仿宋"/>
          <w:sz w:val="24"/>
          <w:szCs w:val="24"/>
        </w:rPr>
      </w:pPr>
      <w:r>
        <w:rPr>
          <w:rFonts w:hint="eastAsia" w:ascii="仿宋" w:hAnsi="仿宋" w:eastAsia="仿宋"/>
          <w:sz w:val="24"/>
          <w:szCs w:val="24"/>
          <w:lang w:eastAsia="zh-Hans"/>
        </w:rPr>
        <w:t>CSIG</w:t>
      </w:r>
      <w:r>
        <w:rPr>
          <w:rFonts w:hint="eastAsia" w:ascii="仿宋" w:hAnsi="仿宋" w:eastAsia="仿宋"/>
          <w:sz w:val="24"/>
          <w:szCs w:val="24"/>
          <w:lang w:eastAsia="zh-CN"/>
        </w:rPr>
        <w:t>博士/硕士</w:t>
      </w:r>
      <w:r>
        <w:rPr>
          <w:rFonts w:hint="eastAsia" w:ascii="仿宋" w:hAnsi="仿宋" w:eastAsia="仿宋"/>
          <w:sz w:val="24"/>
          <w:szCs w:val="24"/>
        </w:rPr>
        <w:t>学位论文激励计划</w:t>
      </w:r>
      <w:r>
        <w:rPr>
          <w:rFonts w:hint="eastAsia" w:ascii="仿宋" w:hAnsi="仿宋" w:eastAsia="仿宋"/>
          <w:sz w:val="24"/>
          <w:szCs w:val="24"/>
          <w:lang w:eastAsia="zh-Hans"/>
        </w:rPr>
        <w:t>将</w:t>
      </w:r>
      <w:r>
        <w:rPr>
          <w:rFonts w:hint="eastAsia" w:ascii="仿宋" w:hAnsi="仿宋" w:eastAsia="仿宋"/>
          <w:sz w:val="24"/>
          <w:szCs w:val="24"/>
        </w:rPr>
        <w:t>遴选在图像图形及其相关领域的基础理论或应用基础研究方面有重要突破，或在关键技术和应用技术方面有重要创新的中国图像图形学领域</w:t>
      </w:r>
      <w:r>
        <w:rPr>
          <w:rFonts w:hint="eastAsia" w:ascii="仿宋" w:hAnsi="仿宋" w:eastAsia="仿宋"/>
          <w:sz w:val="24"/>
          <w:szCs w:val="24"/>
          <w:lang w:eastAsia="zh-CN"/>
        </w:rPr>
        <w:t>博士/硕士</w:t>
      </w:r>
      <w:r>
        <w:rPr>
          <w:rFonts w:hint="eastAsia" w:ascii="仿宋" w:hAnsi="仿宋" w:eastAsia="仿宋"/>
          <w:sz w:val="24"/>
          <w:szCs w:val="24"/>
        </w:rPr>
        <w:t>学位论文。</w:t>
      </w:r>
    </w:p>
    <w:p w14:paraId="777D5A04">
      <w:pPr>
        <w:rPr>
          <w:rFonts w:ascii="仿宋" w:hAnsi="仿宋" w:eastAsia="仿宋"/>
        </w:rPr>
      </w:pPr>
    </w:p>
    <w:p w14:paraId="77DFF46A">
      <w:pPr>
        <w:spacing w:after="312" w:afterLines="100"/>
        <w:jc w:val="center"/>
        <w:rPr>
          <w:rFonts w:ascii="仿宋" w:hAnsi="仿宋" w:eastAsia="仿宋"/>
        </w:rPr>
      </w:pPr>
      <w:r>
        <w:rPr>
          <w:rFonts w:hint="eastAsia" w:ascii="仿宋" w:hAnsi="仿宋" w:eastAsia="仿宋"/>
        </w:rPr>
        <w:t>　</w:t>
      </w:r>
      <w:r>
        <w:rPr>
          <w:rFonts w:hint="eastAsia" w:ascii="仿宋" w:hAnsi="仿宋" w:eastAsia="仿宋"/>
          <w:b/>
          <w:sz w:val="32"/>
        </w:rPr>
        <w:t>第二章　推荐要求和遴选</w:t>
      </w:r>
      <w:r>
        <w:rPr>
          <w:rFonts w:hint="eastAsia" w:ascii="仿宋" w:hAnsi="仿宋" w:eastAsia="仿宋"/>
          <w:b/>
          <w:sz w:val="32"/>
          <w:lang w:eastAsia="zh-Hans"/>
        </w:rPr>
        <w:t>条件</w:t>
      </w:r>
    </w:p>
    <w:p w14:paraId="1330D017">
      <w:pPr>
        <w:numPr>
          <w:ilvl w:val="0"/>
          <w:numId w:val="1"/>
        </w:numPr>
        <w:spacing w:line="360" w:lineRule="exact"/>
        <w:ind w:left="851"/>
        <w:rPr>
          <w:rFonts w:ascii="仿宋" w:hAnsi="仿宋" w:eastAsia="仿宋"/>
          <w:sz w:val="24"/>
          <w:szCs w:val="24"/>
        </w:rPr>
      </w:pPr>
      <w:r>
        <w:rPr>
          <w:rFonts w:hint="eastAsia" w:ascii="仿宋" w:hAnsi="仿宋" w:eastAsia="仿宋"/>
          <w:sz w:val="24"/>
          <w:szCs w:val="24"/>
        </w:rPr>
        <w:t>CSIG</w:t>
      </w:r>
      <w:r>
        <w:rPr>
          <w:rFonts w:hint="eastAsia" w:ascii="仿宋" w:hAnsi="仿宋" w:eastAsia="仿宋"/>
          <w:sz w:val="24"/>
          <w:szCs w:val="24"/>
          <w:lang w:eastAsia="zh-CN"/>
        </w:rPr>
        <w:t>博士/硕士</w:t>
      </w:r>
      <w:r>
        <w:rPr>
          <w:rFonts w:hint="eastAsia" w:ascii="仿宋" w:hAnsi="仿宋" w:eastAsia="仿宋"/>
          <w:sz w:val="24"/>
          <w:szCs w:val="24"/>
        </w:rPr>
        <w:t>学位论文激励计划实行推荐制，以下机构（合称推荐者）具有推荐资格：</w:t>
      </w:r>
    </w:p>
    <w:p w14:paraId="7088E27D">
      <w:pPr>
        <w:pStyle w:val="8"/>
        <w:numPr>
          <w:ilvl w:val="0"/>
          <w:numId w:val="2"/>
        </w:numPr>
        <w:ind w:left="1418" w:hanging="567" w:firstLineChars="0"/>
        <w:rPr>
          <w:rFonts w:ascii="仿宋" w:hAnsi="仿宋" w:eastAsia="仿宋"/>
          <w:sz w:val="24"/>
          <w:szCs w:val="24"/>
        </w:rPr>
      </w:pPr>
      <w:r>
        <w:rPr>
          <w:rFonts w:hint="eastAsia" w:ascii="仿宋" w:hAnsi="仿宋" w:eastAsia="仿宋"/>
          <w:sz w:val="24"/>
          <w:szCs w:val="24"/>
          <w:lang w:eastAsia="zh-CN"/>
        </w:rPr>
        <w:t>中国图像图形学会</w:t>
      </w:r>
      <w:r>
        <w:rPr>
          <w:rFonts w:hint="eastAsia" w:ascii="仿宋" w:hAnsi="仿宋" w:eastAsia="仿宋"/>
          <w:sz w:val="24"/>
          <w:szCs w:val="24"/>
        </w:rPr>
        <w:t>各分支机构；</w:t>
      </w:r>
    </w:p>
    <w:p w14:paraId="24120C9C">
      <w:pPr>
        <w:pStyle w:val="8"/>
        <w:numPr>
          <w:ilvl w:val="0"/>
          <w:numId w:val="2"/>
        </w:numPr>
        <w:ind w:left="1418" w:hanging="567" w:firstLineChars="0"/>
        <w:rPr>
          <w:rFonts w:ascii="仿宋" w:hAnsi="仿宋" w:eastAsia="仿宋"/>
          <w:sz w:val="24"/>
          <w:szCs w:val="24"/>
        </w:rPr>
      </w:pPr>
      <w:r>
        <w:rPr>
          <w:rFonts w:hint="eastAsia" w:ascii="仿宋" w:hAnsi="仿宋" w:eastAsia="仿宋"/>
          <w:sz w:val="24"/>
          <w:szCs w:val="24"/>
        </w:rPr>
        <w:t>各地方图象图形学会；</w:t>
      </w:r>
    </w:p>
    <w:p w14:paraId="685DEC86">
      <w:pPr>
        <w:pStyle w:val="8"/>
        <w:numPr>
          <w:ilvl w:val="0"/>
          <w:numId w:val="2"/>
        </w:numPr>
        <w:ind w:left="1418" w:hanging="567" w:firstLineChars="0"/>
        <w:rPr>
          <w:rFonts w:ascii="仿宋" w:hAnsi="仿宋" w:eastAsia="仿宋"/>
          <w:sz w:val="24"/>
          <w:szCs w:val="24"/>
        </w:rPr>
      </w:pPr>
      <w:r>
        <w:rPr>
          <w:rFonts w:hint="eastAsia" w:ascii="仿宋" w:hAnsi="仿宋" w:eastAsia="仿宋"/>
          <w:sz w:val="24"/>
          <w:szCs w:val="24"/>
        </w:rPr>
        <w:t>具有独立法人资格的从事图像图形学研究的高校和科研院所，从事图像图形学领域研发、生产、应用、推广的企业和机构。</w:t>
      </w:r>
    </w:p>
    <w:p w14:paraId="44FA99AD">
      <w:pPr>
        <w:numPr>
          <w:ilvl w:val="0"/>
          <w:numId w:val="1"/>
        </w:numPr>
        <w:spacing w:line="360" w:lineRule="exact"/>
        <w:ind w:left="972" w:hanging="972" w:hangingChars="405"/>
        <w:rPr>
          <w:rFonts w:ascii="仿宋" w:hAnsi="仿宋" w:eastAsia="仿宋"/>
          <w:sz w:val="24"/>
          <w:szCs w:val="24"/>
        </w:rPr>
      </w:pPr>
      <w:r>
        <w:rPr>
          <w:rFonts w:hint="eastAsia" w:ascii="仿宋" w:hAnsi="仿宋" w:eastAsia="仿宋"/>
          <w:sz w:val="24"/>
          <w:szCs w:val="24"/>
        </w:rPr>
        <w:t>参加CSIG</w:t>
      </w:r>
      <w:r>
        <w:rPr>
          <w:rFonts w:hint="eastAsia" w:ascii="仿宋" w:hAnsi="仿宋" w:eastAsia="仿宋"/>
          <w:sz w:val="24"/>
          <w:szCs w:val="24"/>
          <w:lang w:eastAsia="zh-CN"/>
        </w:rPr>
        <w:t>博士/硕士</w:t>
      </w:r>
      <w:r>
        <w:rPr>
          <w:rFonts w:hint="eastAsia" w:ascii="仿宋" w:hAnsi="仿宋" w:eastAsia="仿宋"/>
          <w:sz w:val="24"/>
          <w:szCs w:val="24"/>
        </w:rPr>
        <w:t>学位论文激励计划遴选应具备以下条件：</w:t>
      </w:r>
    </w:p>
    <w:p w14:paraId="2309EA5C">
      <w:pPr>
        <w:pStyle w:val="8"/>
        <w:numPr>
          <w:ilvl w:val="0"/>
          <w:numId w:val="3"/>
        </w:numPr>
        <w:ind w:left="1418" w:hanging="567" w:firstLineChars="0"/>
        <w:rPr>
          <w:rFonts w:ascii="仿宋" w:hAnsi="仿宋" w:eastAsia="仿宋"/>
          <w:sz w:val="24"/>
          <w:szCs w:val="24"/>
        </w:rPr>
      </w:pPr>
      <w:r>
        <w:rPr>
          <w:rFonts w:hint="eastAsia" w:ascii="仿宋" w:hAnsi="仿宋" w:eastAsia="仿宋"/>
          <w:sz w:val="24"/>
          <w:szCs w:val="24"/>
        </w:rPr>
        <w:t>论文作者在攻读</w:t>
      </w:r>
      <w:r>
        <w:rPr>
          <w:rFonts w:hint="eastAsia" w:ascii="仿宋" w:hAnsi="仿宋" w:eastAsia="仿宋"/>
          <w:sz w:val="24"/>
          <w:szCs w:val="24"/>
          <w:lang w:eastAsia="zh-CN"/>
        </w:rPr>
        <w:t>博士/硕士</w:t>
      </w:r>
      <w:r>
        <w:rPr>
          <w:rFonts w:hint="eastAsia" w:ascii="仿宋" w:hAnsi="仿宋" w:eastAsia="仿宋"/>
          <w:sz w:val="24"/>
          <w:szCs w:val="24"/>
        </w:rPr>
        <w:t>学位期间，在图像图形及其相关领域的基础理论或应用研究中取得重要成果，或在关键技术或应用技术创新等方面成果显著；</w:t>
      </w:r>
    </w:p>
    <w:p w14:paraId="794B2F90">
      <w:pPr>
        <w:pStyle w:val="8"/>
        <w:numPr>
          <w:ilvl w:val="0"/>
          <w:numId w:val="3"/>
        </w:numPr>
        <w:ind w:left="1418" w:hanging="567" w:firstLineChars="0"/>
        <w:rPr>
          <w:rFonts w:ascii="仿宋" w:hAnsi="仿宋" w:eastAsia="仿宋"/>
          <w:sz w:val="24"/>
          <w:szCs w:val="24"/>
        </w:rPr>
      </w:pPr>
      <w:r>
        <w:rPr>
          <w:rFonts w:hint="eastAsia" w:ascii="仿宋" w:hAnsi="仿宋" w:eastAsia="仿宋"/>
          <w:sz w:val="24"/>
          <w:szCs w:val="24"/>
        </w:rPr>
        <w:t>论文作者在申报受理日期之前的两年半内在中国获得</w:t>
      </w:r>
      <w:r>
        <w:rPr>
          <w:rFonts w:hint="eastAsia" w:ascii="仿宋" w:hAnsi="仿宋" w:eastAsia="仿宋"/>
          <w:sz w:val="24"/>
          <w:szCs w:val="24"/>
          <w:lang w:eastAsia="zh-CN"/>
        </w:rPr>
        <w:t>博士/硕士</w:t>
      </w:r>
      <w:r>
        <w:rPr>
          <w:rFonts w:hint="eastAsia" w:ascii="仿宋" w:hAnsi="仿宋" w:eastAsia="仿宋"/>
          <w:sz w:val="24"/>
          <w:szCs w:val="24"/>
        </w:rPr>
        <w:t>学位；</w:t>
      </w:r>
    </w:p>
    <w:p w14:paraId="3FF147C2">
      <w:pPr>
        <w:pStyle w:val="8"/>
        <w:numPr>
          <w:ilvl w:val="0"/>
          <w:numId w:val="3"/>
        </w:numPr>
        <w:ind w:left="1418" w:hanging="567" w:firstLineChars="0"/>
        <w:rPr>
          <w:rFonts w:ascii="仿宋" w:hAnsi="仿宋" w:eastAsia="仿宋"/>
          <w:sz w:val="24"/>
          <w:szCs w:val="24"/>
        </w:rPr>
      </w:pPr>
      <w:bookmarkStart w:id="0" w:name="_Hlk103367656"/>
      <w:r>
        <w:rPr>
          <w:rFonts w:hint="eastAsia" w:ascii="仿宋" w:hAnsi="仿宋" w:eastAsia="仿宋"/>
          <w:sz w:val="24"/>
          <w:szCs w:val="24"/>
        </w:rPr>
        <w:t>推荐者在提交推荐材料之时确保被推荐人之前未</w:t>
      </w:r>
      <w:r>
        <w:rPr>
          <w:rFonts w:ascii="仿宋" w:hAnsi="仿宋" w:eastAsia="仿宋"/>
          <w:sz w:val="24"/>
          <w:szCs w:val="24"/>
        </w:rPr>
        <w:t>获得过</w:t>
      </w:r>
      <w:r>
        <w:rPr>
          <w:rFonts w:hint="eastAsia" w:ascii="仿宋" w:hAnsi="仿宋" w:eastAsia="仿宋"/>
          <w:sz w:val="24"/>
          <w:szCs w:val="24"/>
        </w:rPr>
        <w:t>且没有正在参评的国际（区域性）学会、全国性学会及省部级教育机构（以下合称同类机构）设立的针对</w:t>
      </w:r>
      <w:r>
        <w:rPr>
          <w:rFonts w:hint="eastAsia" w:ascii="仿宋" w:hAnsi="仿宋" w:eastAsia="仿宋"/>
          <w:sz w:val="24"/>
          <w:szCs w:val="24"/>
          <w:lang w:eastAsia="zh-CN"/>
        </w:rPr>
        <w:t>博士/硕士</w:t>
      </w:r>
      <w:r>
        <w:rPr>
          <w:rFonts w:hint="eastAsia" w:ascii="仿宋" w:hAnsi="仿宋" w:eastAsia="仿宋"/>
          <w:sz w:val="24"/>
          <w:szCs w:val="24"/>
        </w:rPr>
        <w:t>学位论文的奖励/激励计划，同时保证被推荐人知晓并承诺，</w:t>
      </w:r>
      <w:bookmarkStart w:id="1" w:name="_Hlk103368416"/>
      <w:r>
        <w:rPr>
          <w:rFonts w:hint="eastAsia" w:ascii="仿宋" w:hAnsi="仿宋" w:eastAsia="仿宋"/>
          <w:sz w:val="24"/>
          <w:szCs w:val="24"/>
        </w:rPr>
        <w:t>从提交推荐材料到CSIG之时</w:t>
      </w:r>
      <w:bookmarkEnd w:id="1"/>
      <w:r>
        <w:rPr>
          <w:rFonts w:hint="eastAsia" w:ascii="仿宋" w:hAnsi="仿宋" w:eastAsia="仿宋"/>
          <w:sz w:val="24"/>
          <w:szCs w:val="24"/>
        </w:rPr>
        <w:t>直至CSIG对其</w:t>
      </w:r>
      <w:r>
        <w:rPr>
          <w:rFonts w:hint="eastAsia" w:ascii="仿宋" w:hAnsi="仿宋" w:eastAsia="仿宋"/>
          <w:sz w:val="24"/>
          <w:szCs w:val="24"/>
          <w:lang w:eastAsia="zh-CN"/>
        </w:rPr>
        <w:t>博士/硕士</w:t>
      </w:r>
      <w:r>
        <w:rPr>
          <w:rFonts w:hint="eastAsia" w:ascii="仿宋" w:hAnsi="仿宋" w:eastAsia="仿宋"/>
          <w:sz w:val="24"/>
          <w:szCs w:val="24"/>
        </w:rPr>
        <w:t>学位论文做出未能</w:t>
      </w:r>
      <w:r>
        <w:rPr>
          <w:rFonts w:hint="eastAsia" w:ascii="仿宋" w:hAnsi="仿宋" w:eastAsia="仿宋"/>
          <w:sz w:val="24"/>
          <w:szCs w:val="24"/>
          <w:lang w:eastAsia="zh-Hans"/>
        </w:rPr>
        <w:t>入选</w:t>
      </w:r>
      <w:r>
        <w:rPr>
          <w:rFonts w:hint="eastAsia" w:ascii="仿宋" w:hAnsi="仿宋" w:eastAsia="仿宋"/>
          <w:sz w:val="24"/>
          <w:szCs w:val="24"/>
        </w:rPr>
        <w:t>决定之前，不得向任何同类机构提交针对</w:t>
      </w:r>
      <w:r>
        <w:rPr>
          <w:rFonts w:hint="eastAsia" w:ascii="仿宋" w:hAnsi="仿宋" w:eastAsia="仿宋"/>
          <w:sz w:val="24"/>
          <w:szCs w:val="24"/>
          <w:lang w:eastAsia="zh-CN"/>
        </w:rPr>
        <w:t>博士/硕士</w:t>
      </w:r>
      <w:r>
        <w:rPr>
          <w:rFonts w:hint="eastAsia" w:ascii="仿宋" w:hAnsi="仿宋" w:eastAsia="仿宋"/>
          <w:sz w:val="24"/>
          <w:szCs w:val="24"/>
        </w:rPr>
        <w:t>学位论文奖励/激励计划的申请/推荐。</w:t>
      </w:r>
      <w:bookmarkEnd w:id="0"/>
    </w:p>
    <w:p w14:paraId="03BC70FD">
      <w:pPr>
        <w:spacing w:line="360" w:lineRule="exact"/>
        <w:rPr>
          <w:rFonts w:ascii="仿宋" w:hAnsi="仿宋" w:eastAsia="仿宋"/>
          <w:sz w:val="24"/>
          <w:szCs w:val="24"/>
        </w:rPr>
      </w:pPr>
    </w:p>
    <w:p w14:paraId="5EE61D5D">
      <w:pPr>
        <w:spacing w:after="312" w:afterLines="100"/>
        <w:jc w:val="center"/>
        <w:rPr>
          <w:rFonts w:ascii="仿宋" w:hAnsi="仿宋" w:eastAsia="仿宋"/>
          <w:b/>
          <w:sz w:val="32"/>
        </w:rPr>
      </w:pPr>
      <w:r>
        <w:rPr>
          <w:rFonts w:hint="eastAsia" w:ascii="仿宋" w:hAnsi="仿宋" w:eastAsia="仿宋"/>
          <w:b/>
          <w:sz w:val="32"/>
        </w:rPr>
        <w:t>第三章　遴选程序</w:t>
      </w:r>
    </w:p>
    <w:p w14:paraId="3A25A6AD">
      <w:pPr>
        <w:numPr>
          <w:ilvl w:val="0"/>
          <w:numId w:val="1"/>
        </w:numPr>
        <w:spacing w:line="360" w:lineRule="exact"/>
        <w:ind w:left="850"/>
        <w:rPr>
          <w:rFonts w:ascii="仿宋" w:hAnsi="仿宋" w:eastAsia="仿宋"/>
          <w:sz w:val="24"/>
          <w:szCs w:val="24"/>
        </w:rPr>
      </w:pPr>
      <w:r>
        <w:rPr>
          <w:rFonts w:hint="eastAsia" w:ascii="仿宋" w:hAnsi="仿宋" w:eastAsia="仿宋"/>
          <w:sz w:val="24"/>
          <w:szCs w:val="24"/>
        </w:rPr>
        <w:t xml:space="preserve">遴选分形式审查、初评、公示、终评和结果公布五个阶段： </w:t>
      </w:r>
    </w:p>
    <w:p w14:paraId="7A891D64">
      <w:pPr>
        <w:pStyle w:val="8"/>
        <w:numPr>
          <w:ilvl w:val="0"/>
          <w:numId w:val="4"/>
        </w:numPr>
        <w:ind w:left="1418" w:hanging="567" w:firstLineChars="0"/>
        <w:rPr>
          <w:rFonts w:ascii="仿宋" w:hAnsi="仿宋" w:eastAsia="仿宋"/>
          <w:sz w:val="24"/>
          <w:szCs w:val="24"/>
        </w:rPr>
      </w:pPr>
      <w:r>
        <w:rPr>
          <w:rFonts w:hint="eastAsia" w:ascii="仿宋" w:hAnsi="仿宋" w:eastAsia="仿宋"/>
          <w:sz w:val="24"/>
          <w:szCs w:val="24"/>
        </w:rPr>
        <w:t>形式审查：由秘书处对推荐材料进行形式审查。经审查不符合规定的推荐材料，不予受理；</w:t>
      </w:r>
    </w:p>
    <w:p w14:paraId="39A8C841">
      <w:pPr>
        <w:pStyle w:val="8"/>
        <w:numPr>
          <w:ilvl w:val="0"/>
          <w:numId w:val="4"/>
        </w:numPr>
        <w:ind w:left="1418" w:hanging="567" w:firstLineChars="0"/>
        <w:rPr>
          <w:rFonts w:ascii="仿宋" w:hAnsi="仿宋" w:eastAsia="仿宋"/>
          <w:sz w:val="24"/>
          <w:szCs w:val="24"/>
        </w:rPr>
      </w:pPr>
      <w:r>
        <w:rPr>
          <w:rFonts w:hint="eastAsia" w:ascii="仿宋" w:hAnsi="仿宋" w:eastAsia="仿宋"/>
          <w:sz w:val="24"/>
          <w:szCs w:val="24"/>
        </w:rPr>
        <w:t>初评：由提名与奖励委员会组织专家以网评方式进行，每篇候选论文由不少于五名同行专家进行评议；</w:t>
      </w:r>
    </w:p>
    <w:p w14:paraId="75BB98EB">
      <w:pPr>
        <w:pStyle w:val="8"/>
        <w:numPr>
          <w:ilvl w:val="0"/>
          <w:numId w:val="4"/>
        </w:numPr>
        <w:ind w:left="1418" w:hanging="567" w:firstLineChars="0"/>
        <w:rPr>
          <w:rFonts w:ascii="仿宋" w:hAnsi="仿宋" w:eastAsia="仿宋"/>
          <w:sz w:val="24"/>
          <w:szCs w:val="24"/>
        </w:rPr>
      </w:pPr>
      <w:r>
        <w:rPr>
          <w:rFonts w:hint="eastAsia" w:ascii="仿宋" w:hAnsi="仿宋" w:eastAsia="仿宋"/>
          <w:sz w:val="24"/>
          <w:szCs w:val="24"/>
        </w:rPr>
        <w:t>公示：初评结束后，在学会网站对评审结果进行公示，自公示发布之日起，五个工作日内为异议期，如有异议，需要在异议期内向学会提出书面意见，逾期不予受理；</w:t>
      </w:r>
    </w:p>
    <w:p w14:paraId="2E02D66F">
      <w:pPr>
        <w:pStyle w:val="8"/>
        <w:numPr>
          <w:ilvl w:val="0"/>
          <w:numId w:val="4"/>
        </w:numPr>
        <w:ind w:left="1418" w:hanging="567" w:firstLineChars="0"/>
        <w:rPr>
          <w:rFonts w:ascii="仿宋" w:hAnsi="仿宋" w:eastAsia="仿宋"/>
          <w:sz w:val="24"/>
          <w:szCs w:val="24"/>
        </w:rPr>
      </w:pPr>
      <w:r>
        <w:rPr>
          <w:rFonts w:hint="eastAsia" w:ascii="仿宋" w:hAnsi="仿宋" w:eastAsia="仿宋"/>
          <w:sz w:val="24"/>
          <w:szCs w:val="24"/>
        </w:rPr>
        <w:t>终评：由提名与奖励委员会组织专家进行会评，以无记名投票表决产生评审结果；</w:t>
      </w:r>
    </w:p>
    <w:p w14:paraId="101AAD14">
      <w:pPr>
        <w:pStyle w:val="8"/>
        <w:numPr>
          <w:ilvl w:val="0"/>
          <w:numId w:val="4"/>
        </w:numPr>
        <w:ind w:left="1418" w:hanging="567" w:firstLineChars="0"/>
        <w:rPr>
          <w:rFonts w:ascii="仿宋" w:hAnsi="仿宋" w:eastAsia="仿宋"/>
          <w:sz w:val="24"/>
          <w:szCs w:val="24"/>
        </w:rPr>
      </w:pPr>
      <w:r>
        <w:rPr>
          <w:rFonts w:hint="eastAsia" w:ascii="仿宋" w:hAnsi="仿宋" w:eastAsia="仿宋"/>
          <w:sz w:val="24"/>
          <w:szCs w:val="24"/>
        </w:rPr>
        <w:t>结果公布：终评结束后，在学会网站对终评结果进行公布。</w:t>
      </w:r>
    </w:p>
    <w:p w14:paraId="1B740426">
      <w:pPr>
        <w:ind w:left="855"/>
        <w:rPr>
          <w:rFonts w:ascii="仿宋" w:hAnsi="仿宋" w:eastAsia="仿宋"/>
        </w:rPr>
      </w:pPr>
    </w:p>
    <w:p w14:paraId="37AD73DD">
      <w:pPr>
        <w:spacing w:after="312" w:afterLines="100"/>
        <w:jc w:val="center"/>
        <w:rPr>
          <w:rFonts w:ascii="仿宋" w:hAnsi="仿宋" w:eastAsia="仿宋"/>
          <w:b/>
          <w:sz w:val="32"/>
          <w:lang w:eastAsia="zh-Hans"/>
        </w:rPr>
      </w:pPr>
      <w:r>
        <w:rPr>
          <w:rFonts w:hint="eastAsia" w:ascii="仿宋" w:hAnsi="仿宋" w:eastAsia="仿宋"/>
          <w:b/>
          <w:sz w:val="32"/>
        </w:rPr>
        <w:t>第四章  遴选</w:t>
      </w:r>
      <w:r>
        <w:rPr>
          <w:rFonts w:hint="eastAsia" w:ascii="仿宋" w:hAnsi="仿宋" w:eastAsia="仿宋"/>
          <w:b/>
          <w:sz w:val="32"/>
          <w:lang w:eastAsia="zh-Hans"/>
        </w:rPr>
        <w:t>数量</w:t>
      </w:r>
    </w:p>
    <w:p w14:paraId="138A9B39">
      <w:pPr>
        <w:numPr>
          <w:ilvl w:val="0"/>
          <w:numId w:val="1"/>
        </w:numPr>
        <w:spacing w:line="360" w:lineRule="exact"/>
        <w:ind w:left="851"/>
        <w:rPr>
          <w:rFonts w:ascii="仿宋" w:hAnsi="仿宋" w:eastAsia="仿宋"/>
          <w:sz w:val="24"/>
          <w:szCs w:val="24"/>
        </w:rPr>
      </w:pPr>
      <w:r>
        <w:rPr>
          <w:rFonts w:hint="eastAsia" w:ascii="仿宋" w:hAnsi="仿宋" w:eastAsia="仿宋"/>
          <w:sz w:val="24"/>
          <w:szCs w:val="24"/>
        </w:rPr>
        <w:t>C</w:t>
      </w:r>
      <w:r>
        <w:rPr>
          <w:rFonts w:ascii="仿宋" w:hAnsi="仿宋" w:eastAsia="仿宋"/>
          <w:sz w:val="24"/>
          <w:szCs w:val="24"/>
        </w:rPr>
        <w:t>SIG</w:t>
      </w:r>
      <w:r>
        <w:rPr>
          <w:rFonts w:hint="eastAsia" w:ascii="仿宋" w:hAnsi="仿宋" w:eastAsia="仿宋"/>
          <w:sz w:val="24"/>
          <w:szCs w:val="24"/>
        </w:rPr>
        <w:t>每年遴选</w:t>
      </w:r>
      <w:r>
        <w:rPr>
          <w:rFonts w:hint="eastAsia" w:ascii="仿宋" w:hAnsi="仿宋" w:eastAsia="仿宋"/>
          <w:sz w:val="24"/>
          <w:szCs w:val="24"/>
          <w:lang w:eastAsia="zh-Hans"/>
        </w:rPr>
        <w:t>出</w:t>
      </w:r>
      <w:r>
        <w:rPr>
          <w:rFonts w:hint="eastAsia" w:ascii="仿宋" w:hAnsi="仿宋" w:eastAsia="仿宋"/>
          <w:sz w:val="24"/>
          <w:szCs w:val="24"/>
        </w:rPr>
        <w:t>不超过10篇</w:t>
      </w:r>
      <w:r>
        <w:rPr>
          <w:rFonts w:hint="eastAsia" w:ascii="仿宋" w:hAnsi="仿宋" w:eastAsia="仿宋"/>
          <w:sz w:val="24"/>
          <w:szCs w:val="24"/>
          <w:lang w:eastAsia="zh-Hans"/>
        </w:rPr>
        <w:t>论文入选CSIG</w:t>
      </w:r>
      <w:r>
        <w:rPr>
          <w:rFonts w:hint="eastAsia" w:ascii="仿宋" w:hAnsi="仿宋" w:eastAsia="仿宋"/>
          <w:sz w:val="24"/>
          <w:szCs w:val="24"/>
          <w:lang w:eastAsia="zh-CN"/>
        </w:rPr>
        <w:t>博士/硕士</w:t>
      </w:r>
      <w:r>
        <w:rPr>
          <w:rFonts w:hint="eastAsia" w:ascii="仿宋" w:hAnsi="仿宋" w:eastAsia="仿宋"/>
          <w:sz w:val="24"/>
          <w:szCs w:val="24"/>
        </w:rPr>
        <w:t>学位论文激励计划，不超过1</w:t>
      </w:r>
      <w:r>
        <w:rPr>
          <w:rFonts w:ascii="仿宋" w:hAnsi="仿宋" w:eastAsia="仿宋"/>
          <w:sz w:val="24"/>
          <w:szCs w:val="24"/>
        </w:rPr>
        <w:t>0</w:t>
      </w:r>
      <w:r>
        <w:rPr>
          <w:rFonts w:hint="eastAsia" w:ascii="仿宋" w:hAnsi="仿宋" w:eastAsia="仿宋"/>
          <w:sz w:val="24"/>
          <w:szCs w:val="24"/>
        </w:rPr>
        <w:t>篇</w:t>
      </w:r>
      <w:r>
        <w:rPr>
          <w:rFonts w:hint="eastAsia" w:ascii="仿宋" w:hAnsi="仿宋" w:eastAsia="仿宋"/>
          <w:sz w:val="24"/>
          <w:szCs w:val="24"/>
          <w:lang w:eastAsia="zh-Hans"/>
        </w:rPr>
        <w:t>论文</w:t>
      </w:r>
      <w:r>
        <w:rPr>
          <w:rFonts w:hint="eastAsia" w:ascii="仿宋" w:hAnsi="仿宋" w:eastAsia="仿宋"/>
          <w:sz w:val="24"/>
          <w:szCs w:val="24"/>
        </w:rPr>
        <w:t>获得“</w:t>
      </w:r>
      <w:r>
        <w:rPr>
          <w:rFonts w:hint="eastAsia" w:ascii="仿宋" w:hAnsi="仿宋" w:eastAsia="仿宋"/>
          <w:sz w:val="24"/>
          <w:szCs w:val="24"/>
          <w:lang w:eastAsia="zh-Hans"/>
        </w:rPr>
        <w:t>CSIG</w:t>
      </w:r>
      <w:r>
        <w:rPr>
          <w:rFonts w:hint="eastAsia" w:ascii="仿宋" w:hAnsi="仿宋" w:eastAsia="仿宋"/>
          <w:sz w:val="24"/>
          <w:szCs w:val="24"/>
          <w:lang w:eastAsia="zh-CN"/>
        </w:rPr>
        <w:t>博士/硕士</w:t>
      </w:r>
      <w:r>
        <w:rPr>
          <w:rFonts w:hint="eastAsia" w:ascii="仿宋" w:hAnsi="仿宋" w:eastAsia="仿宋"/>
          <w:sz w:val="24"/>
          <w:szCs w:val="24"/>
        </w:rPr>
        <w:t>学位论文激励计划”提名。</w:t>
      </w:r>
    </w:p>
    <w:p w14:paraId="537D2345">
      <w:pPr>
        <w:rPr>
          <w:rFonts w:ascii="仿宋" w:hAnsi="仿宋" w:eastAsia="仿宋"/>
        </w:rPr>
      </w:pPr>
    </w:p>
    <w:p w14:paraId="6068D98F">
      <w:pPr>
        <w:spacing w:after="312" w:afterLines="100"/>
        <w:jc w:val="center"/>
        <w:rPr>
          <w:rFonts w:ascii="仿宋" w:hAnsi="仿宋" w:eastAsia="仿宋"/>
          <w:b/>
          <w:sz w:val="32"/>
        </w:rPr>
      </w:pPr>
      <w:r>
        <w:rPr>
          <w:rFonts w:hint="eastAsia" w:ascii="仿宋" w:hAnsi="仿宋" w:eastAsia="仿宋"/>
          <w:b/>
          <w:sz w:val="32"/>
        </w:rPr>
        <w:t>第五章 附则</w:t>
      </w:r>
    </w:p>
    <w:p w14:paraId="7F296168">
      <w:pPr>
        <w:numPr>
          <w:ilvl w:val="0"/>
          <w:numId w:val="1"/>
        </w:numPr>
        <w:spacing w:line="360" w:lineRule="exact"/>
        <w:ind w:left="850"/>
        <w:rPr>
          <w:rFonts w:ascii="仿宋" w:hAnsi="仿宋" w:eastAsia="仿宋"/>
          <w:sz w:val="24"/>
          <w:szCs w:val="24"/>
        </w:rPr>
      </w:pPr>
      <w:r>
        <w:rPr>
          <w:rFonts w:hint="eastAsia" w:ascii="仿宋" w:hAnsi="仿宋" w:eastAsia="仿宋"/>
          <w:sz w:val="24"/>
          <w:szCs w:val="24"/>
        </w:rPr>
        <w:t>本办法由</w:t>
      </w:r>
      <w:r>
        <w:rPr>
          <w:rFonts w:hint="eastAsia" w:ascii="仿宋" w:hAnsi="仿宋" w:eastAsia="仿宋"/>
          <w:sz w:val="24"/>
          <w:szCs w:val="24"/>
          <w:lang w:eastAsia="zh-CN"/>
        </w:rPr>
        <w:t>中国图像图形学会</w:t>
      </w:r>
      <w:r>
        <w:rPr>
          <w:rFonts w:hint="eastAsia" w:ascii="仿宋" w:hAnsi="仿宋" w:eastAsia="仿宋"/>
          <w:sz w:val="24"/>
          <w:szCs w:val="24"/>
        </w:rPr>
        <w:t>常务理事会通过后生效。</w:t>
      </w:r>
    </w:p>
    <w:p w14:paraId="0CA3229A">
      <w:pPr>
        <w:numPr>
          <w:ilvl w:val="0"/>
          <w:numId w:val="1"/>
        </w:numPr>
        <w:spacing w:line="360" w:lineRule="exact"/>
        <w:ind w:left="850"/>
        <w:rPr>
          <w:rFonts w:ascii="仿宋" w:hAnsi="仿宋" w:eastAsia="仿宋"/>
          <w:sz w:val="24"/>
          <w:szCs w:val="24"/>
        </w:rPr>
      </w:pPr>
      <w:r>
        <w:rPr>
          <w:rFonts w:hint="eastAsia" w:ascii="仿宋" w:hAnsi="仿宋" w:eastAsia="仿宋"/>
          <w:sz w:val="24"/>
          <w:szCs w:val="24"/>
        </w:rPr>
        <w:t>本办法由</w:t>
      </w:r>
      <w:r>
        <w:rPr>
          <w:rFonts w:hint="eastAsia" w:ascii="仿宋" w:hAnsi="仿宋" w:eastAsia="仿宋"/>
          <w:sz w:val="24"/>
          <w:szCs w:val="24"/>
          <w:lang w:eastAsia="zh-CN"/>
        </w:rPr>
        <w:t>中国图像图形学会</w:t>
      </w:r>
      <w:r>
        <w:rPr>
          <w:rFonts w:hint="eastAsia" w:ascii="仿宋" w:hAnsi="仿宋" w:eastAsia="仿宋"/>
          <w:sz w:val="24"/>
          <w:szCs w:val="24"/>
        </w:rPr>
        <w:t>负责解释。</w:t>
      </w:r>
    </w:p>
    <w:p w14:paraId="012903F1"/>
    <w:p w14:paraId="0BBD9622"/>
    <w:p w14:paraId="1746485B">
      <w:pPr>
        <w:spacing w:line="360" w:lineRule="exact"/>
        <w:ind w:left="708" w:hanging="708" w:hangingChars="295"/>
        <w:rPr>
          <w:rFonts w:ascii="仿宋" w:hAnsi="仿宋" w:eastAsia="仿宋"/>
          <w:sz w:val="24"/>
          <w:szCs w:val="24"/>
        </w:rPr>
      </w:pPr>
      <w:r>
        <w:rPr>
          <w:rFonts w:hint="eastAsia" w:ascii="仿宋" w:hAnsi="仿宋" w:eastAsia="仿宋"/>
          <w:sz w:val="24"/>
          <w:szCs w:val="24"/>
        </w:rPr>
        <w:t>注：</w:t>
      </w:r>
    </w:p>
    <w:p w14:paraId="583C0D71">
      <w:pPr>
        <w:spacing w:line="360" w:lineRule="exact"/>
        <w:ind w:left="708" w:hanging="708" w:hangingChars="295"/>
        <w:rPr>
          <w:rFonts w:ascii="仿宋" w:hAnsi="仿宋" w:eastAsia="仿宋"/>
          <w:sz w:val="24"/>
          <w:szCs w:val="24"/>
        </w:rPr>
      </w:pPr>
      <w:r>
        <w:rPr>
          <w:rFonts w:hint="eastAsia" w:ascii="仿宋" w:hAnsi="仿宋" w:eastAsia="仿宋"/>
          <w:sz w:val="24"/>
          <w:szCs w:val="24"/>
        </w:rPr>
        <w:t>2017年5月27日七届三次常务理事会议表决通过</w:t>
      </w:r>
    </w:p>
    <w:p w14:paraId="3091BA7E">
      <w:pPr>
        <w:spacing w:line="360" w:lineRule="exact"/>
        <w:ind w:left="708" w:hanging="708" w:hangingChars="295"/>
        <w:rPr>
          <w:rFonts w:ascii="仿宋" w:hAnsi="仿宋" w:eastAsia="仿宋"/>
          <w:sz w:val="24"/>
          <w:szCs w:val="24"/>
        </w:rPr>
      </w:pPr>
      <w:r>
        <w:rPr>
          <w:rFonts w:hint="eastAsia" w:ascii="仿宋" w:hAnsi="仿宋" w:eastAsia="仿宋"/>
          <w:sz w:val="24"/>
          <w:szCs w:val="24"/>
        </w:rPr>
        <w:t>2018年5月12日七届五次常务理事会议修订</w:t>
      </w:r>
    </w:p>
    <w:p w14:paraId="4E80BFE3">
      <w:pPr>
        <w:spacing w:line="360" w:lineRule="exact"/>
        <w:ind w:left="708" w:hanging="708" w:hangingChars="295"/>
        <w:rPr>
          <w:rFonts w:ascii="仿宋" w:hAnsi="仿宋" w:eastAsia="仿宋"/>
          <w:sz w:val="24"/>
          <w:szCs w:val="24"/>
        </w:rPr>
      </w:pPr>
      <w:r>
        <w:rPr>
          <w:rFonts w:hint="eastAsia" w:ascii="仿宋" w:hAnsi="仿宋" w:eastAsia="仿宋"/>
          <w:sz w:val="24"/>
          <w:szCs w:val="24"/>
        </w:rPr>
        <w:t>2022年5月21日八届九次常务理事会议修订</w:t>
      </w:r>
    </w:p>
    <w:p w14:paraId="25113EDA">
      <w:pPr>
        <w:spacing w:line="360" w:lineRule="exact"/>
        <w:ind w:left="708" w:hanging="708" w:hangingChars="295"/>
        <w:rPr>
          <w:rFonts w:ascii="仿宋" w:hAnsi="仿宋" w:eastAsia="仿宋"/>
          <w:sz w:val="24"/>
          <w:szCs w:val="24"/>
        </w:rPr>
      </w:pPr>
      <w:r>
        <w:rPr>
          <w:rFonts w:hint="eastAsia" w:ascii="仿宋" w:hAnsi="仿宋" w:eastAsia="仿宋"/>
          <w:sz w:val="24"/>
          <w:szCs w:val="24"/>
        </w:rPr>
        <w:t>2023年5月12日八届十二次常务理事会议修订</w:t>
      </w:r>
    </w:p>
    <w:p w14:paraId="28F41611">
      <w:pPr>
        <w:spacing w:line="360" w:lineRule="exact"/>
        <w:ind w:left="708" w:hanging="708" w:hangingChars="295"/>
        <w:rPr>
          <w:rFonts w:hint="eastAsia" w:ascii="仿宋" w:hAnsi="仿宋" w:eastAsia="仿宋"/>
          <w:sz w:val="24"/>
          <w:szCs w:val="24"/>
        </w:rPr>
      </w:pPr>
    </w:p>
    <w:p w14:paraId="571C6699"/>
    <w:sectPr>
      <w:pgSz w:w="11906" w:h="16838"/>
      <w:pgMar w:top="1440" w:right="1588"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1A6072"/>
    <w:multiLevelType w:val="multilevel"/>
    <w:tmpl w:val="181A6072"/>
    <w:lvl w:ilvl="0" w:tentative="0">
      <w:start w:val="1"/>
      <w:numFmt w:val="chineseCountingThousand"/>
      <w:lvlText w:val="(%1)"/>
      <w:lvlJc w:val="left"/>
      <w:pPr>
        <w:ind w:left="1271" w:hanging="420"/>
      </w:pPr>
    </w:lvl>
    <w:lvl w:ilvl="1" w:tentative="0">
      <w:start w:val="1"/>
      <w:numFmt w:val="lowerLetter"/>
      <w:lvlText w:val="%2)"/>
      <w:lvlJc w:val="left"/>
      <w:pPr>
        <w:ind w:left="1691" w:hanging="420"/>
      </w:pPr>
    </w:lvl>
    <w:lvl w:ilvl="2" w:tentative="0">
      <w:start w:val="1"/>
      <w:numFmt w:val="lowerRoman"/>
      <w:lvlText w:val="%3."/>
      <w:lvlJc w:val="right"/>
      <w:pPr>
        <w:ind w:left="2111" w:hanging="420"/>
      </w:pPr>
    </w:lvl>
    <w:lvl w:ilvl="3" w:tentative="0">
      <w:start w:val="1"/>
      <w:numFmt w:val="decimal"/>
      <w:lvlText w:val="%4."/>
      <w:lvlJc w:val="left"/>
      <w:pPr>
        <w:ind w:left="2531" w:hanging="420"/>
      </w:pPr>
    </w:lvl>
    <w:lvl w:ilvl="4" w:tentative="0">
      <w:start w:val="1"/>
      <w:numFmt w:val="lowerLetter"/>
      <w:lvlText w:val="%5)"/>
      <w:lvlJc w:val="left"/>
      <w:pPr>
        <w:ind w:left="2951" w:hanging="420"/>
      </w:pPr>
    </w:lvl>
    <w:lvl w:ilvl="5" w:tentative="0">
      <w:start w:val="1"/>
      <w:numFmt w:val="lowerRoman"/>
      <w:lvlText w:val="%6."/>
      <w:lvlJc w:val="right"/>
      <w:pPr>
        <w:ind w:left="3371" w:hanging="420"/>
      </w:pPr>
    </w:lvl>
    <w:lvl w:ilvl="6" w:tentative="0">
      <w:start w:val="1"/>
      <w:numFmt w:val="decimal"/>
      <w:lvlText w:val="%7."/>
      <w:lvlJc w:val="left"/>
      <w:pPr>
        <w:ind w:left="3791" w:hanging="420"/>
      </w:pPr>
    </w:lvl>
    <w:lvl w:ilvl="7" w:tentative="0">
      <w:start w:val="1"/>
      <w:numFmt w:val="lowerLetter"/>
      <w:lvlText w:val="%8)"/>
      <w:lvlJc w:val="left"/>
      <w:pPr>
        <w:ind w:left="4211" w:hanging="420"/>
      </w:pPr>
    </w:lvl>
    <w:lvl w:ilvl="8" w:tentative="0">
      <w:start w:val="1"/>
      <w:numFmt w:val="lowerRoman"/>
      <w:lvlText w:val="%9."/>
      <w:lvlJc w:val="right"/>
      <w:pPr>
        <w:ind w:left="4631" w:hanging="420"/>
      </w:pPr>
    </w:lvl>
  </w:abstractNum>
  <w:abstractNum w:abstractNumId="1">
    <w:nsid w:val="43F976B7"/>
    <w:multiLevelType w:val="multilevel"/>
    <w:tmpl w:val="43F976B7"/>
    <w:lvl w:ilvl="0" w:tentative="0">
      <w:start w:val="1"/>
      <w:numFmt w:val="japaneseCounting"/>
      <w:lvlText w:val="第%1条"/>
      <w:lvlJc w:val="left"/>
      <w:pPr>
        <w:ind w:left="1706" w:hanging="855"/>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7E72A36"/>
    <w:multiLevelType w:val="multilevel"/>
    <w:tmpl w:val="47E72A36"/>
    <w:lvl w:ilvl="0" w:tentative="0">
      <w:start w:val="1"/>
      <w:numFmt w:val="chineseCountingThousand"/>
      <w:lvlText w:val="(%1)"/>
      <w:lvlJc w:val="left"/>
      <w:pPr>
        <w:ind w:left="1271" w:hanging="420"/>
      </w:pPr>
    </w:lvl>
    <w:lvl w:ilvl="1" w:tentative="0">
      <w:start w:val="1"/>
      <w:numFmt w:val="lowerLetter"/>
      <w:lvlText w:val="%2)"/>
      <w:lvlJc w:val="left"/>
      <w:pPr>
        <w:ind w:left="1691" w:hanging="420"/>
      </w:pPr>
    </w:lvl>
    <w:lvl w:ilvl="2" w:tentative="0">
      <w:start w:val="1"/>
      <w:numFmt w:val="lowerRoman"/>
      <w:lvlText w:val="%3."/>
      <w:lvlJc w:val="right"/>
      <w:pPr>
        <w:ind w:left="2111" w:hanging="420"/>
      </w:pPr>
    </w:lvl>
    <w:lvl w:ilvl="3" w:tentative="0">
      <w:start w:val="1"/>
      <w:numFmt w:val="decimal"/>
      <w:lvlText w:val="%4."/>
      <w:lvlJc w:val="left"/>
      <w:pPr>
        <w:ind w:left="2531" w:hanging="420"/>
      </w:pPr>
    </w:lvl>
    <w:lvl w:ilvl="4" w:tentative="0">
      <w:start w:val="1"/>
      <w:numFmt w:val="lowerLetter"/>
      <w:lvlText w:val="%5)"/>
      <w:lvlJc w:val="left"/>
      <w:pPr>
        <w:ind w:left="2951" w:hanging="420"/>
      </w:pPr>
    </w:lvl>
    <w:lvl w:ilvl="5" w:tentative="0">
      <w:start w:val="1"/>
      <w:numFmt w:val="lowerRoman"/>
      <w:lvlText w:val="%6."/>
      <w:lvlJc w:val="right"/>
      <w:pPr>
        <w:ind w:left="3371" w:hanging="420"/>
      </w:pPr>
    </w:lvl>
    <w:lvl w:ilvl="6" w:tentative="0">
      <w:start w:val="1"/>
      <w:numFmt w:val="decimal"/>
      <w:lvlText w:val="%7."/>
      <w:lvlJc w:val="left"/>
      <w:pPr>
        <w:ind w:left="3791" w:hanging="420"/>
      </w:pPr>
    </w:lvl>
    <w:lvl w:ilvl="7" w:tentative="0">
      <w:start w:val="1"/>
      <w:numFmt w:val="lowerLetter"/>
      <w:lvlText w:val="%8)"/>
      <w:lvlJc w:val="left"/>
      <w:pPr>
        <w:ind w:left="4211" w:hanging="420"/>
      </w:pPr>
    </w:lvl>
    <w:lvl w:ilvl="8" w:tentative="0">
      <w:start w:val="1"/>
      <w:numFmt w:val="lowerRoman"/>
      <w:lvlText w:val="%9."/>
      <w:lvlJc w:val="right"/>
      <w:pPr>
        <w:ind w:left="4631" w:hanging="420"/>
      </w:pPr>
    </w:lvl>
  </w:abstractNum>
  <w:abstractNum w:abstractNumId="3">
    <w:nsid w:val="65134925"/>
    <w:multiLevelType w:val="multilevel"/>
    <w:tmpl w:val="65134925"/>
    <w:lvl w:ilvl="0" w:tentative="0">
      <w:start w:val="1"/>
      <w:numFmt w:val="chineseCountingThousand"/>
      <w:lvlText w:val="(%1)"/>
      <w:lvlJc w:val="left"/>
      <w:pPr>
        <w:ind w:left="1271" w:hanging="420"/>
      </w:pPr>
    </w:lvl>
    <w:lvl w:ilvl="1" w:tentative="0">
      <w:start w:val="1"/>
      <w:numFmt w:val="lowerLetter"/>
      <w:lvlText w:val="%2)"/>
      <w:lvlJc w:val="left"/>
      <w:pPr>
        <w:ind w:left="1691" w:hanging="420"/>
      </w:pPr>
    </w:lvl>
    <w:lvl w:ilvl="2" w:tentative="0">
      <w:start w:val="1"/>
      <w:numFmt w:val="lowerRoman"/>
      <w:lvlText w:val="%3."/>
      <w:lvlJc w:val="right"/>
      <w:pPr>
        <w:ind w:left="2111" w:hanging="420"/>
      </w:pPr>
    </w:lvl>
    <w:lvl w:ilvl="3" w:tentative="0">
      <w:start w:val="1"/>
      <w:numFmt w:val="decimal"/>
      <w:lvlText w:val="%4."/>
      <w:lvlJc w:val="left"/>
      <w:pPr>
        <w:ind w:left="2531" w:hanging="420"/>
      </w:pPr>
    </w:lvl>
    <w:lvl w:ilvl="4" w:tentative="0">
      <w:start w:val="1"/>
      <w:numFmt w:val="lowerLetter"/>
      <w:lvlText w:val="%5)"/>
      <w:lvlJc w:val="left"/>
      <w:pPr>
        <w:ind w:left="2951" w:hanging="420"/>
      </w:pPr>
    </w:lvl>
    <w:lvl w:ilvl="5" w:tentative="0">
      <w:start w:val="1"/>
      <w:numFmt w:val="lowerRoman"/>
      <w:lvlText w:val="%6."/>
      <w:lvlJc w:val="right"/>
      <w:pPr>
        <w:ind w:left="3371" w:hanging="420"/>
      </w:pPr>
    </w:lvl>
    <w:lvl w:ilvl="6" w:tentative="0">
      <w:start w:val="1"/>
      <w:numFmt w:val="decimal"/>
      <w:lvlText w:val="%7."/>
      <w:lvlJc w:val="left"/>
      <w:pPr>
        <w:ind w:left="3791" w:hanging="420"/>
      </w:pPr>
    </w:lvl>
    <w:lvl w:ilvl="7" w:tentative="0">
      <w:start w:val="1"/>
      <w:numFmt w:val="lowerLetter"/>
      <w:lvlText w:val="%8)"/>
      <w:lvlJc w:val="left"/>
      <w:pPr>
        <w:ind w:left="4211" w:hanging="420"/>
      </w:pPr>
    </w:lvl>
    <w:lvl w:ilvl="8" w:tentative="0">
      <w:start w:val="1"/>
      <w:numFmt w:val="lowerRoman"/>
      <w:lvlText w:val="%9."/>
      <w:lvlJc w:val="right"/>
      <w:pPr>
        <w:ind w:left="4631"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iMTk1MWZkNTk1YzJjNGUwZTA1NTVjYmQ5MjI4OTAifQ=="/>
  </w:docVars>
  <w:rsids>
    <w:rsidRoot w:val="00346574"/>
    <w:rsid w:val="0007533C"/>
    <w:rsid w:val="00346574"/>
    <w:rsid w:val="004E7287"/>
    <w:rsid w:val="005576CC"/>
    <w:rsid w:val="009A7304"/>
    <w:rsid w:val="00A45C7E"/>
    <w:rsid w:val="00F1569E"/>
    <w:rsid w:val="02B56978"/>
    <w:rsid w:val="03252EAE"/>
    <w:rsid w:val="0E981627"/>
    <w:rsid w:val="19CC487B"/>
    <w:rsid w:val="1D137FB4"/>
    <w:rsid w:val="1E1177E9"/>
    <w:rsid w:val="1F2F089B"/>
    <w:rsid w:val="20557EED"/>
    <w:rsid w:val="226C6E44"/>
    <w:rsid w:val="259A75DB"/>
    <w:rsid w:val="2EF93870"/>
    <w:rsid w:val="33ED43B1"/>
    <w:rsid w:val="3A0606BF"/>
    <w:rsid w:val="3A765554"/>
    <w:rsid w:val="3BFF4E5E"/>
    <w:rsid w:val="3C8D0392"/>
    <w:rsid w:val="3FC3A6CA"/>
    <w:rsid w:val="48F409BD"/>
    <w:rsid w:val="4D1A5738"/>
    <w:rsid w:val="4E564E8E"/>
    <w:rsid w:val="5BEE7FAC"/>
    <w:rsid w:val="5E271AE9"/>
    <w:rsid w:val="5FFF0598"/>
    <w:rsid w:val="62D665B5"/>
    <w:rsid w:val="678B359C"/>
    <w:rsid w:val="685E210F"/>
    <w:rsid w:val="69114FE4"/>
    <w:rsid w:val="6AEFA408"/>
    <w:rsid w:val="6BAE09DE"/>
    <w:rsid w:val="77FA9269"/>
    <w:rsid w:val="7D77EC48"/>
    <w:rsid w:val="7DCF9FFB"/>
    <w:rsid w:val="7F4118A5"/>
    <w:rsid w:val="7F7F1BA3"/>
    <w:rsid w:val="7FFBB5A0"/>
    <w:rsid w:val="D9FC8FC9"/>
    <w:rsid w:val="E0EF323B"/>
    <w:rsid w:val="FEFAD681"/>
    <w:rsid w:val="FEFF51DD"/>
    <w:rsid w:val="FFA425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
    <w:autoRedefine/>
    <w:qFormat/>
    <w:uiPriority w:val="9"/>
    <w:pPr>
      <w:keepNext/>
      <w:keepLines/>
      <w:spacing w:before="340" w:after="330" w:line="578" w:lineRule="auto"/>
      <w:outlineLvl w:val="0"/>
    </w:pPr>
    <w:rPr>
      <w:rFonts w:eastAsia="仿宋_GB2312"/>
      <w:b/>
      <w:bCs/>
      <w:kern w:val="44"/>
      <w:sz w:val="44"/>
      <w:szCs w:val="44"/>
    </w:rPr>
  </w:style>
  <w:style w:type="character" w:default="1" w:styleId="4">
    <w:name w:val="Default Paragraph Font"/>
    <w:autoRedefine/>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5">
    <w:name w:val="Strong"/>
    <w:basedOn w:val="4"/>
    <w:autoRedefine/>
    <w:qFormat/>
    <w:uiPriority w:val="22"/>
    <w:rPr>
      <w:b/>
      <w:bCs/>
    </w:rPr>
  </w:style>
  <w:style w:type="character" w:customStyle="1" w:styleId="6">
    <w:name w:val="标题 1 字符"/>
    <w:basedOn w:val="4"/>
    <w:link w:val="2"/>
    <w:qFormat/>
    <w:uiPriority w:val="9"/>
    <w:rPr>
      <w:rFonts w:ascii="Times New Roman" w:hAnsi="Times New Roman" w:eastAsia="仿宋_GB2312" w:cs="Times New Roman"/>
      <w:b/>
      <w:bCs/>
      <w:kern w:val="44"/>
      <w:sz w:val="44"/>
      <w:szCs w:val="44"/>
    </w:rPr>
  </w:style>
  <w:style w:type="paragraph" w:customStyle="1" w:styleId="7">
    <w:name w:val="Normal Indent1"/>
    <w:qFormat/>
    <w:uiPriority w:val="0"/>
    <w:pPr>
      <w:widowControl w:val="0"/>
      <w:spacing w:line="560" w:lineRule="exact"/>
      <w:ind w:firstLine="420" w:firstLineChars="200"/>
      <w:jc w:val="both"/>
    </w:pPr>
    <w:rPr>
      <w:rFonts w:ascii="Times New Roman" w:hAnsi="Times New Roman" w:eastAsia="宋体" w:cs="Times New Roman"/>
      <w:kern w:val="2"/>
      <w:sz w:val="32"/>
      <w:szCs w:val="24"/>
      <w:lang w:val="en-US" w:eastAsia="zh-CN" w:bidi="ar-SA"/>
    </w:rPr>
  </w:style>
  <w:style w:type="paragraph" w:styleId="8">
    <w:name w:val="List Paragraph"/>
    <w:basedOn w:val="1"/>
    <w:qFormat/>
    <w:uiPriority w:val="34"/>
    <w:pPr>
      <w:ind w:firstLine="420" w:firstLineChars="200"/>
    </w:pPr>
    <w:rPr>
      <w:rFonts w:eastAsia="仿宋_GB2312"/>
      <w:sz w:val="30"/>
    </w:rPr>
  </w:style>
  <w:style w:type="paragraph" w:customStyle="1" w:styleId="9">
    <w:name w:val="Revision"/>
    <w:autoRedefine/>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1102</Words>
  <Characters>1150</Characters>
  <Lines>76</Lines>
  <Paragraphs>21</Paragraphs>
  <TotalTime>0</TotalTime>
  <ScaleCrop>false</ScaleCrop>
  <LinksUpToDate>false</LinksUpToDate>
  <CharactersWithSpaces>1158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2023-07-09T09:34:00Z</dcterms:created>
  <dc:creator>Microsoft Office User</dc:creator>
  <cp:lastModifiedBy>小雨</cp:lastModifiedBy>
  <dcterms:modified xsi:type="dcterms:W3CDTF">2026-10-23T02:04:33Z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712483050C1A47238738E2AFC04B4606_13</vt:lpwstr>
  </property>
  <property fmtid="{D5CDD505-2E9C-101B-9397-08002B2CF9AE}" pid="4" name="KSOTemplateDocerSaveRecord">
    <vt:lpwstr>eyJoZGlkIjoiOTFmZDQxYTI1NWFkOTNkMjRkN2Y4MTUwM2NhM2RkYzIiLCJ1c2VySWQiOiIyMjM4MTc3MzMifQ==</vt:lpwstr>
  </property>
</Properties>
</file>